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61" w:rsidRDefault="00DE75D6" w:rsidP="005B2661">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D7E6B">
        <w:rPr>
          <w:rFonts w:cs="Arial"/>
          <w:b/>
          <w:sz w:val="28"/>
        </w:rPr>
        <w:t xml:space="preserve">2018/19 </w:t>
      </w:r>
      <w:r w:rsidR="001C08EF">
        <w:rPr>
          <w:rFonts w:cs="Arial"/>
          <w:b/>
          <w:sz w:val="28"/>
        </w:rPr>
        <w:t>–</w:t>
      </w:r>
      <w:r w:rsidR="003608DF">
        <w:rPr>
          <w:rFonts w:cs="Arial"/>
          <w:b/>
          <w:sz w:val="28"/>
        </w:rPr>
        <w:t xml:space="preserve"> </w:t>
      </w:r>
      <w:r w:rsidR="00BC4E2A">
        <w:rPr>
          <w:rFonts w:cs="Arial"/>
          <w:b/>
          <w:sz w:val="28"/>
        </w:rPr>
        <w:t>September 2018</w:t>
      </w:r>
    </w:p>
    <w:p w:rsidR="005B2661" w:rsidRDefault="005B2661" w:rsidP="00C013BA">
      <w:pPr>
        <w:rPr>
          <w:rFonts w:cs="Arial"/>
          <w:b/>
        </w:rPr>
      </w:pPr>
    </w:p>
    <w:p w:rsidR="005373D3" w:rsidRDefault="005373D3" w:rsidP="00C013BA">
      <w:pPr>
        <w:rPr>
          <w:rFonts w:cs="Arial"/>
          <w:b/>
        </w:rPr>
      </w:pPr>
      <w:r>
        <w:rPr>
          <w:rFonts w:cs="Arial"/>
          <w:b/>
        </w:rPr>
        <w:t xml:space="preserve">Recommendations from the Companies Scrutiny Panel to </w:t>
      </w:r>
      <w:r>
        <w:rPr>
          <w:rFonts w:cs="Arial"/>
          <w:b/>
        </w:rPr>
        <w:t xml:space="preserve">2 August Shareholder Group </w:t>
      </w:r>
      <w:r>
        <w:rPr>
          <w:rFonts w:cs="Arial"/>
          <w:b/>
        </w:rPr>
        <w:t>meeting</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599A" w:rsidRPr="00AC577F" w:rsidTr="0004599A">
        <w:tc>
          <w:tcPr>
            <w:tcW w:w="6629" w:type="dxa"/>
            <w:shd w:val="clear" w:color="auto" w:fill="D9D9D9"/>
            <w:vAlign w:val="center"/>
          </w:tcPr>
          <w:p w:rsidR="0004599A" w:rsidRPr="00AC577F" w:rsidRDefault="0004599A" w:rsidP="00C94088">
            <w:pPr>
              <w:rPr>
                <w:rFonts w:cs="Arial"/>
                <w:b/>
                <w:i/>
              </w:rPr>
            </w:pPr>
            <w:r w:rsidRPr="00AC577F">
              <w:rPr>
                <w:rFonts w:cs="Arial"/>
                <w:b/>
                <w:i/>
              </w:rPr>
              <w:t>Recommendation</w:t>
            </w:r>
          </w:p>
        </w:tc>
        <w:tc>
          <w:tcPr>
            <w:tcW w:w="1134" w:type="dxa"/>
            <w:shd w:val="clear" w:color="auto" w:fill="D9D9D9"/>
            <w:vAlign w:val="center"/>
          </w:tcPr>
          <w:p w:rsidR="0004599A" w:rsidRPr="00AC577F" w:rsidRDefault="0004599A" w:rsidP="00C94088">
            <w:pPr>
              <w:rPr>
                <w:rFonts w:cs="Arial"/>
                <w:b/>
                <w:i/>
              </w:rPr>
            </w:pPr>
            <w:r w:rsidRPr="00AC577F">
              <w:rPr>
                <w:rFonts w:cs="Arial"/>
                <w:b/>
                <w:i/>
              </w:rPr>
              <w:t xml:space="preserve">Agree? </w:t>
            </w:r>
          </w:p>
        </w:tc>
        <w:tc>
          <w:tcPr>
            <w:tcW w:w="6520" w:type="dxa"/>
            <w:shd w:val="clear" w:color="auto" w:fill="D9D9D9"/>
            <w:vAlign w:val="center"/>
          </w:tcPr>
          <w:p w:rsidR="0004599A" w:rsidRPr="00AC577F" w:rsidRDefault="0004599A" w:rsidP="00C94088">
            <w:pPr>
              <w:rPr>
                <w:rFonts w:cs="Arial"/>
                <w:b/>
                <w:i/>
              </w:rPr>
            </w:pPr>
            <w:r w:rsidRPr="00AC577F">
              <w:rPr>
                <w:rFonts w:cs="Arial"/>
                <w:b/>
                <w:i/>
              </w:rPr>
              <w:t>Comment</w:t>
            </w:r>
          </w:p>
        </w:tc>
      </w:tr>
      <w:tr w:rsidR="0004599A" w:rsidRPr="00AC577F" w:rsidTr="0004599A">
        <w:trPr>
          <w:trHeight w:val="305"/>
        </w:trPr>
        <w:tc>
          <w:tcPr>
            <w:tcW w:w="6629" w:type="dxa"/>
            <w:shd w:val="clear" w:color="auto" w:fill="auto"/>
          </w:tcPr>
          <w:p w:rsidR="0004599A" w:rsidRPr="00EE5837" w:rsidRDefault="005373D3" w:rsidP="00944685">
            <w:pPr>
              <w:pStyle w:val="ListParagraph"/>
              <w:numPr>
                <w:ilvl w:val="0"/>
                <w:numId w:val="22"/>
              </w:numPr>
              <w:tabs>
                <w:tab w:val="left" w:pos="426"/>
              </w:tabs>
            </w:pPr>
            <w:r>
              <w:t>Councillor Community Infrastructure Levy projects, where appropriate, should use ODS as the preferred contractor to carry out the work. This should not however affect the Council’s duty to secure best value from its contracts.</w:t>
            </w:r>
          </w:p>
        </w:tc>
        <w:tc>
          <w:tcPr>
            <w:tcW w:w="1134" w:type="dxa"/>
            <w:shd w:val="clear" w:color="auto" w:fill="auto"/>
          </w:tcPr>
          <w:p w:rsidR="0004599A" w:rsidRPr="00AC577F" w:rsidRDefault="005373D3" w:rsidP="00C94088">
            <w:pPr>
              <w:rPr>
                <w:rFonts w:cs="Arial"/>
              </w:rPr>
            </w:pPr>
            <w:r>
              <w:rPr>
                <w:rFonts w:cs="Arial"/>
              </w:rPr>
              <w:t>Yes</w:t>
            </w:r>
          </w:p>
        </w:tc>
        <w:tc>
          <w:tcPr>
            <w:tcW w:w="6520" w:type="dxa"/>
            <w:shd w:val="clear" w:color="auto" w:fill="auto"/>
          </w:tcPr>
          <w:p w:rsidR="0004599A" w:rsidRPr="00AC577F" w:rsidRDefault="005373D3" w:rsidP="00944685">
            <w:pPr>
              <w:pStyle w:val="ListParagraph"/>
              <w:ind w:left="0"/>
              <w:contextualSpacing w:val="0"/>
              <w:rPr>
                <w:rFonts w:cs="Arial"/>
              </w:rPr>
            </w:pPr>
            <w:r>
              <w:rPr>
                <w:rFonts w:cs="Arial"/>
              </w:rPr>
              <w:t>It is within the gift of councillors to define which organisation</w:t>
            </w:r>
            <w:r w:rsidR="00944685">
              <w:rPr>
                <w:rFonts w:cs="Arial"/>
              </w:rPr>
              <w:t>s (such as Oxford Direct Services)</w:t>
            </w:r>
            <w:r>
              <w:rPr>
                <w:rFonts w:cs="Arial"/>
              </w:rPr>
              <w:t xml:space="preserve"> </w:t>
            </w:r>
            <w:r w:rsidR="00944685">
              <w:rPr>
                <w:rFonts w:cs="Arial"/>
              </w:rPr>
              <w:t>carry out CIL works as part of th</w:t>
            </w:r>
            <w:bookmarkStart w:id="0" w:name="_GoBack"/>
            <w:bookmarkEnd w:id="0"/>
            <w:r w:rsidR="00944685">
              <w:rPr>
                <w:rFonts w:cs="Arial"/>
              </w:rPr>
              <w:t xml:space="preserve">e CIL application process. </w:t>
            </w:r>
          </w:p>
        </w:tc>
      </w:tr>
      <w:tr w:rsidR="0004599A" w:rsidRPr="00AC577F" w:rsidTr="0004599A">
        <w:trPr>
          <w:trHeight w:val="305"/>
        </w:trPr>
        <w:tc>
          <w:tcPr>
            <w:tcW w:w="6629" w:type="dxa"/>
            <w:shd w:val="clear" w:color="auto" w:fill="auto"/>
          </w:tcPr>
          <w:p w:rsidR="0004599A" w:rsidRPr="00EE5837" w:rsidRDefault="00944685" w:rsidP="00944685">
            <w:pPr>
              <w:pStyle w:val="ListParagraph"/>
              <w:numPr>
                <w:ilvl w:val="0"/>
                <w:numId w:val="22"/>
              </w:numPr>
              <w:tabs>
                <w:tab w:val="left" w:pos="7335"/>
              </w:tabs>
              <w:rPr>
                <w:rFonts w:cs="Arial"/>
              </w:rPr>
            </w:pPr>
            <w:r>
              <w:t>The Shareholder Group receives a more comprehensive scorecard of financial indicators as part of subsequent quarterly reports. This should include longer term projections for revenue and capital expenditure, including service level breakdowns with overhead costs, and progress updates on major contracts and projects</w:t>
            </w:r>
          </w:p>
        </w:tc>
        <w:tc>
          <w:tcPr>
            <w:tcW w:w="1134" w:type="dxa"/>
            <w:shd w:val="clear" w:color="auto" w:fill="auto"/>
          </w:tcPr>
          <w:p w:rsidR="0004599A" w:rsidRPr="00AC577F" w:rsidRDefault="00944685" w:rsidP="00C94088">
            <w:pPr>
              <w:rPr>
                <w:rFonts w:cs="Arial"/>
              </w:rPr>
            </w:pPr>
            <w:r>
              <w:rPr>
                <w:rFonts w:cs="Arial"/>
              </w:rPr>
              <w:t>Yes</w:t>
            </w:r>
          </w:p>
        </w:tc>
        <w:tc>
          <w:tcPr>
            <w:tcW w:w="6520" w:type="dxa"/>
            <w:shd w:val="clear" w:color="auto" w:fill="auto"/>
          </w:tcPr>
          <w:p w:rsidR="0004599A" w:rsidRPr="00AC577F" w:rsidRDefault="0004599A" w:rsidP="00C94088">
            <w:pPr>
              <w:pStyle w:val="ListParagraph"/>
              <w:ind w:left="0"/>
              <w:contextualSpacing w:val="0"/>
              <w:rPr>
                <w:rFonts w:cs="Arial"/>
              </w:rPr>
            </w:pPr>
          </w:p>
        </w:tc>
      </w:tr>
    </w:tbl>
    <w:p w:rsidR="00ED7E6B" w:rsidRDefault="00ED7E6B"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04599A">
      <w:pPr>
        <w:rPr>
          <w:rFonts w:cs="Arial"/>
          <w:b/>
        </w:rPr>
      </w:pPr>
    </w:p>
    <w:sectPr w:rsidR="0004599A" w:rsidSect="005B00CE">
      <w:pgSz w:w="16838" w:h="11906" w:orient="landscape"/>
      <w:pgMar w:top="567" w:right="1418" w:bottom="567"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C8" w:rsidRDefault="006151C8" w:rsidP="00770820">
      <w:r>
        <w:separator/>
      </w:r>
    </w:p>
  </w:endnote>
  <w:endnote w:type="continuationSeparator" w:id="0">
    <w:p w:rsidR="006151C8" w:rsidRDefault="006151C8"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C8" w:rsidRDefault="006151C8" w:rsidP="00770820">
      <w:r>
        <w:separator/>
      </w:r>
    </w:p>
  </w:footnote>
  <w:footnote w:type="continuationSeparator" w:id="0">
    <w:p w:rsidR="006151C8" w:rsidRDefault="006151C8"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58F"/>
    <w:multiLevelType w:val="hybridMultilevel"/>
    <w:tmpl w:val="21D08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02273B"/>
    <w:multiLevelType w:val="hybridMultilevel"/>
    <w:tmpl w:val="242AC11A"/>
    <w:lvl w:ilvl="0" w:tplc="025A9F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000E7"/>
    <w:multiLevelType w:val="hybridMultilevel"/>
    <w:tmpl w:val="8F2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7332D66"/>
    <w:multiLevelType w:val="hybridMultilevel"/>
    <w:tmpl w:val="54BC1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4A67BF"/>
    <w:multiLevelType w:val="hybridMultilevel"/>
    <w:tmpl w:val="CAF4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D17F8D"/>
    <w:multiLevelType w:val="hybridMultilevel"/>
    <w:tmpl w:val="41E8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17"/>
  </w:num>
  <w:num w:numId="5">
    <w:abstractNumId w:val="9"/>
  </w:num>
  <w:num w:numId="6">
    <w:abstractNumId w:val="21"/>
  </w:num>
  <w:num w:numId="7">
    <w:abstractNumId w:val="0"/>
  </w:num>
  <w:num w:numId="8">
    <w:abstractNumId w:val="16"/>
  </w:num>
  <w:num w:numId="9">
    <w:abstractNumId w:val="14"/>
  </w:num>
  <w:num w:numId="10">
    <w:abstractNumId w:val="3"/>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3"/>
  </w:num>
  <w:num w:numId="16">
    <w:abstractNumId w:val="12"/>
  </w:num>
  <w:num w:numId="17">
    <w:abstractNumId w:val="5"/>
  </w:num>
  <w:num w:numId="18">
    <w:abstractNumId w:val="4"/>
  </w:num>
  <w:num w:numId="19">
    <w:abstractNumId w:val="1"/>
  </w:num>
  <w:num w:numId="20">
    <w:abstractNumId w:val="19"/>
    <w:lvlOverride w:ilvl="0">
      <w:lvl w:ilvl="0">
        <w:start w:val="1"/>
        <w:numFmt w:val="decimal"/>
        <w:lvlText w:val="%1."/>
        <w:lvlJc w:val="left"/>
        <w:pPr>
          <w:ind w:left="360" w:hanging="360"/>
        </w:pPr>
        <w:rPr>
          <w:rFonts w:ascii="Arial" w:hAnsi="Arial"/>
          <w:b w:val="0"/>
          <w:color w:val="000000"/>
          <w:sz w:val="24"/>
        </w:rPr>
      </w:lvl>
    </w:lvlOverride>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4599A"/>
    <w:rsid w:val="000651BE"/>
    <w:rsid w:val="0007474A"/>
    <w:rsid w:val="000929D5"/>
    <w:rsid w:val="000B4310"/>
    <w:rsid w:val="000B7CE9"/>
    <w:rsid w:val="00102AB9"/>
    <w:rsid w:val="0011346E"/>
    <w:rsid w:val="00162911"/>
    <w:rsid w:val="001A3381"/>
    <w:rsid w:val="001C08EF"/>
    <w:rsid w:val="001D6BCA"/>
    <w:rsid w:val="001F03AC"/>
    <w:rsid w:val="00212E63"/>
    <w:rsid w:val="00220AF4"/>
    <w:rsid w:val="00290F45"/>
    <w:rsid w:val="002C31B0"/>
    <w:rsid w:val="002E7845"/>
    <w:rsid w:val="003236B3"/>
    <w:rsid w:val="0033084B"/>
    <w:rsid w:val="0034054D"/>
    <w:rsid w:val="0034734F"/>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2637E"/>
    <w:rsid w:val="005373D3"/>
    <w:rsid w:val="005B00CE"/>
    <w:rsid w:val="005B2661"/>
    <w:rsid w:val="005C4344"/>
    <w:rsid w:val="00612FE5"/>
    <w:rsid w:val="006151C8"/>
    <w:rsid w:val="00645665"/>
    <w:rsid w:val="0066079B"/>
    <w:rsid w:val="006766A4"/>
    <w:rsid w:val="00704BAF"/>
    <w:rsid w:val="00735421"/>
    <w:rsid w:val="00737DEE"/>
    <w:rsid w:val="0075339C"/>
    <w:rsid w:val="00765461"/>
    <w:rsid w:val="00770820"/>
    <w:rsid w:val="0077287C"/>
    <w:rsid w:val="007908F4"/>
    <w:rsid w:val="007A1C4D"/>
    <w:rsid w:val="0080740F"/>
    <w:rsid w:val="0081179F"/>
    <w:rsid w:val="00816994"/>
    <w:rsid w:val="00835092"/>
    <w:rsid w:val="008520BB"/>
    <w:rsid w:val="0087223B"/>
    <w:rsid w:val="00896B8B"/>
    <w:rsid w:val="008A22C6"/>
    <w:rsid w:val="008E4BCD"/>
    <w:rsid w:val="009318D7"/>
    <w:rsid w:val="009354C7"/>
    <w:rsid w:val="00944685"/>
    <w:rsid w:val="00A4263F"/>
    <w:rsid w:val="00A6694D"/>
    <w:rsid w:val="00AD57AD"/>
    <w:rsid w:val="00B02ADE"/>
    <w:rsid w:val="00B0515E"/>
    <w:rsid w:val="00B7081C"/>
    <w:rsid w:val="00B7537D"/>
    <w:rsid w:val="00BA23D3"/>
    <w:rsid w:val="00BC4E2A"/>
    <w:rsid w:val="00BD58F7"/>
    <w:rsid w:val="00BF6979"/>
    <w:rsid w:val="00C013BA"/>
    <w:rsid w:val="00C07F80"/>
    <w:rsid w:val="00C32C6A"/>
    <w:rsid w:val="00C5256F"/>
    <w:rsid w:val="00C52FE9"/>
    <w:rsid w:val="00C92E79"/>
    <w:rsid w:val="00D07958"/>
    <w:rsid w:val="00D53832"/>
    <w:rsid w:val="00DC3603"/>
    <w:rsid w:val="00DC685F"/>
    <w:rsid w:val="00DE75D6"/>
    <w:rsid w:val="00E234D4"/>
    <w:rsid w:val="00E336AE"/>
    <w:rsid w:val="00E46E12"/>
    <w:rsid w:val="00E87C8F"/>
    <w:rsid w:val="00EB3BF9"/>
    <w:rsid w:val="00ED7E6B"/>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ListParagraphChar">
    <w:name w:val="List Paragraph Char"/>
    <w:link w:val="ListParagraph"/>
    <w:uiPriority w:val="34"/>
    <w:locked/>
    <w:rsid w:val="0004599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ListParagraphChar">
    <w:name w:val="List Paragraph Char"/>
    <w:link w:val="ListParagraph"/>
    <w:uiPriority w:val="34"/>
    <w:locked/>
    <w:rsid w:val="0004599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F967-5BE0-4697-A169-CACAE99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EABE0AD</Template>
  <TotalTime>14</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srobinson</cp:lastModifiedBy>
  <cp:revision>5</cp:revision>
  <dcterms:created xsi:type="dcterms:W3CDTF">2018-06-25T11:29:00Z</dcterms:created>
  <dcterms:modified xsi:type="dcterms:W3CDTF">2018-08-23T13:26:00Z</dcterms:modified>
</cp:coreProperties>
</file>